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30"/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1080"/>
        <w:gridCol w:w="1080"/>
        <w:gridCol w:w="1080"/>
        <w:gridCol w:w="739"/>
        <w:gridCol w:w="739"/>
        <w:gridCol w:w="739"/>
        <w:gridCol w:w="747"/>
        <w:gridCol w:w="739"/>
        <w:gridCol w:w="739"/>
        <w:gridCol w:w="739"/>
        <w:gridCol w:w="39"/>
        <w:gridCol w:w="700"/>
        <w:gridCol w:w="762"/>
        <w:gridCol w:w="762"/>
        <w:gridCol w:w="762"/>
      </w:tblGrid>
      <w:tr w:rsidR="006E69DF" w:rsidRPr="00603561" w:rsidTr="009B6ABB">
        <w:trPr>
          <w:trHeight w:val="422"/>
        </w:trPr>
        <w:tc>
          <w:tcPr>
            <w:tcW w:w="14344" w:type="dxa"/>
            <w:gridSpan w:val="16"/>
            <w:shd w:val="clear" w:color="auto" w:fill="FFFFFF" w:themeFill="background1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A2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>-1 Intellectual Contributions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the Accounting Academic Unit</w:t>
            </w:r>
          </w:p>
        </w:tc>
      </w:tr>
      <w:tr w:rsidR="006E69DF" w:rsidRPr="00603561" w:rsidTr="009B6ABB">
        <w:trPr>
          <w:trHeight w:val="375"/>
        </w:trPr>
        <w:tc>
          <w:tcPr>
            <w:tcW w:w="9102" w:type="dxa"/>
            <w:gridSpan w:val="8"/>
            <w:shd w:val="clear" w:color="auto" w:fill="000000" w:themeFill="text1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Part A: Five-Year Summary of Intellectual Contributions</w:t>
            </w: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rPr>
          <w:trHeight w:val="864"/>
        </w:trPr>
        <w:tc>
          <w:tcPr>
            <w:tcW w:w="2898" w:type="dxa"/>
            <w:vMerge w:val="restart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Aggregate and summarize data to reflect the organizational structure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the unit’s faculty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 (e.g., research groups). Do not list by individual faculty member.</w:t>
            </w:r>
          </w:p>
        </w:tc>
        <w:tc>
          <w:tcPr>
            <w:tcW w:w="3240" w:type="dxa"/>
            <w:gridSpan w:val="3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Portfolio of Intellectual Contributions</w:t>
            </w:r>
          </w:p>
        </w:tc>
        <w:tc>
          <w:tcPr>
            <w:tcW w:w="6682" w:type="dxa"/>
            <w:gridSpan w:val="10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Type of Intellectual Contributions</w:t>
            </w:r>
          </w:p>
        </w:tc>
        <w:tc>
          <w:tcPr>
            <w:tcW w:w="1524" w:type="dxa"/>
            <w:gridSpan w:val="2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Percentage of Faculty Producing ICs</w:t>
            </w:r>
          </w:p>
        </w:tc>
      </w:tr>
      <w:tr w:rsidR="006E69DF" w:rsidRPr="00603561" w:rsidTr="009B6ABB">
        <w:trPr>
          <w:cantSplit/>
          <w:trHeight w:val="2924"/>
        </w:trPr>
        <w:tc>
          <w:tcPr>
            <w:tcW w:w="2898" w:type="dxa"/>
            <w:vMerge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Basic or Discovery Scholarship</w:t>
            </w:r>
          </w:p>
        </w:tc>
        <w:tc>
          <w:tcPr>
            <w:tcW w:w="1080" w:type="dxa"/>
            <w:textDirection w:val="btLr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>Integrative/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 Scholarship</w:t>
            </w:r>
          </w:p>
        </w:tc>
        <w:tc>
          <w:tcPr>
            <w:tcW w:w="1080" w:type="dxa"/>
            <w:textDirection w:val="btLr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Teaching and Learning Scholarship</w:t>
            </w:r>
          </w:p>
        </w:tc>
        <w:tc>
          <w:tcPr>
            <w:tcW w:w="739" w:type="dxa"/>
            <w:textDirection w:val="btLr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Peer-Reviewed Journals</w:t>
            </w:r>
          </w:p>
        </w:tc>
        <w:tc>
          <w:tcPr>
            <w:tcW w:w="739" w:type="dxa"/>
            <w:textDirection w:val="btLr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Academic/Professional Meeting Proceedings</w:t>
            </w:r>
          </w:p>
        </w:tc>
        <w:tc>
          <w:tcPr>
            <w:tcW w:w="739" w:type="dxa"/>
            <w:textDirection w:val="btLr"/>
            <w:vAlign w:val="center"/>
          </w:tcPr>
          <w:p w:rsidR="006E69DF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cademic/Professional </w:t>
            </w:r>
          </w:p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Meeting Pr</w:t>
            </w:r>
            <w:r>
              <w:rPr>
                <w:rFonts w:ascii="Arial" w:hAnsi="Arial" w:cs="Arial"/>
                <w:b/>
                <w:sz w:val="20"/>
                <w:szCs w:val="20"/>
              </w:rPr>
              <w:t>esentations</w:t>
            </w:r>
          </w:p>
        </w:tc>
        <w:tc>
          <w:tcPr>
            <w:tcW w:w="747" w:type="dxa"/>
            <w:textDirection w:val="btLr"/>
            <w:vAlign w:val="cente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Competitive Research Awards Received</w:t>
            </w:r>
          </w:p>
        </w:tc>
        <w:tc>
          <w:tcPr>
            <w:tcW w:w="739" w:type="dxa"/>
            <w:textDirection w:val="btL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Textbooks</w:t>
            </w:r>
          </w:p>
        </w:tc>
        <w:tc>
          <w:tcPr>
            <w:tcW w:w="739" w:type="dxa"/>
            <w:textDirection w:val="btL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Cases</w:t>
            </w:r>
          </w:p>
        </w:tc>
        <w:tc>
          <w:tcPr>
            <w:tcW w:w="778" w:type="dxa"/>
            <w:gridSpan w:val="2"/>
            <w:textDirection w:val="btL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Other Teaching Materials</w:t>
            </w:r>
          </w:p>
        </w:tc>
        <w:tc>
          <w:tcPr>
            <w:tcW w:w="700" w:type="dxa"/>
            <w:textDirection w:val="btL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Type Selected by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Accounting Academic Unit</w:t>
            </w:r>
          </w:p>
        </w:tc>
        <w:tc>
          <w:tcPr>
            <w:tcW w:w="762" w:type="dxa"/>
            <w:textDirection w:val="btLr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Selected by the Accounting Academic Unit</w:t>
            </w:r>
          </w:p>
        </w:tc>
        <w:tc>
          <w:tcPr>
            <w:tcW w:w="762" w:type="dxa"/>
            <w:textDirection w:val="btLr"/>
          </w:tcPr>
          <w:p w:rsidR="006E69DF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Percent of Participating Faculty Producing ICs</w:t>
            </w:r>
          </w:p>
        </w:tc>
        <w:tc>
          <w:tcPr>
            <w:tcW w:w="762" w:type="dxa"/>
            <w:textDirection w:val="btLr"/>
          </w:tcPr>
          <w:p w:rsidR="006E69DF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Percentage of total FTE faculty producing ICs</w:t>
            </w:r>
          </w:p>
        </w:tc>
      </w:tr>
      <w:tr w:rsidR="006E69DF" w:rsidRPr="00603561" w:rsidTr="009B6ABB">
        <w:tc>
          <w:tcPr>
            <w:tcW w:w="2898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gridSpan w:val="2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c>
          <w:tcPr>
            <w:tcW w:w="2898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c>
          <w:tcPr>
            <w:tcW w:w="9102" w:type="dxa"/>
            <w:gridSpan w:val="8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Part B: Alignment with Mission, Expected Outcomes, and Strategy</w:t>
            </w: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c>
          <w:tcPr>
            <w:tcW w:w="14344" w:type="dxa"/>
            <w:gridSpan w:val="16"/>
            <w:shd w:val="clear" w:color="auto" w:fill="D9D9D9" w:themeFill="background1" w:themeFillShade="D9"/>
          </w:tcPr>
          <w:p w:rsidR="006E69DF" w:rsidRPr="00603561" w:rsidRDefault="006E69DF" w:rsidP="009B6A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Provide a qualitative description of how the portfolio of intellectual contributions is aligned with the mission, expected outcomes, and strategy of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accounting academic 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</w:tr>
      <w:tr w:rsidR="006E69DF" w:rsidRPr="00603561" w:rsidTr="009B6ABB">
        <w:tc>
          <w:tcPr>
            <w:tcW w:w="14344" w:type="dxa"/>
            <w:gridSpan w:val="16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c>
          <w:tcPr>
            <w:tcW w:w="9102" w:type="dxa"/>
            <w:gridSpan w:val="8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Part C: Quality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>Five-Year Portfolio of Intellectual Contributions</w:t>
            </w: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c>
          <w:tcPr>
            <w:tcW w:w="14344" w:type="dxa"/>
            <w:gridSpan w:val="16"/>
            <w:shd w:val="clear" w:color="auto" w:fill="D9D9D9" w:themeFill="background1" w:themeFillShade="D9"/>
          </w:tcPr>
          <w:p w:rsidR="006E69DF" w:rsidRPr="00603561" w:rsidRDefault="006E69DF" w:rsidP="009B6A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Provide evidence demonstrating the quality of the above five-year portfolio of intellectual contributions. Accounting academic units are encouraged to include qualitative descriptions and quantitative metrics and to summarize information in tabular format whenever possible.</w:t>
            </w:r>
          </w:p>
        </w:tc>
      </w:tr>
      <w:tr w:rsidR="006E69DF" w:rsidRPr="00603561" w:rsidTr="009B6ABB">
        <w:tc>
          <w:tcPr>
            <w:tcW w:w="14344" w:type="dxa"/>
            <w:gridSpan w:val="16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c>
          <w:tcPr>
            <w:tcW w:w="9102" w:type="dxa"/>
            <w:gridSpan w:val="8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Part D: Impact of Intellectual Contributions</w:t>
            </w: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000000" w:themeFill="text1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9DF" w:rsidRPr="00603561" w:rsidTr="009B6ABB">
        <w:tc>
          <w:tcPr>
            <w:tcW w:w="14344" w:type="dxa"/>
            <w:gridSpan w:val="16"/>
            <w:shd w:val="clear" w:color="auto" w:fill="D9D9D9" w:themeFill="background1" w:themeFillShade="D9"/>
          </w:tcPr>
          <w:p w:rsidR="006E69DF" w:rsidRPr="00603561" w:rsidRDefault="006E69DF" w:rsidP="009B6A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3561">
              <w:rPr>
                <w:rFonts w:ascii="Arial" w:hAnsi="Arial" w:cs="Arial"/>
                <w:b/>
                <w:sz w:val="20"/>
                <w:szCs w:val="20"/>
              </w:rPr>
              <w:t>Provide evidence demonstrating that the unit’s intellectual contributions have had an impact on the theory, practice, and/or teaching of accounting, business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 and management.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demonstrate impact, whenever possible, 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accounting academic </w:t>
            </w:r>
            <w:r w:rsidRPr="00603561">
              <w:rPr>
                <w:rFonts w:ascii="Arial" w:hAnsi="Arial" w:cs="Arial"/>
                <w:b/>
                <w:sz w:val="20"/>
                <w:szCs w:val="20"/>
              </w:rPr>
              <w:t>unit is encouraged to include qualitative descriptions and quantitative metrics and to summarize the information in tabular format. Evidence of impact may stem from intellectual contributions produced beyond the five-year AACSB accreditation review period.</w:t>
            </w:r>
          </w:p>
        </w:tc>
      </w:tr>
      <w:tr w:rsidR="006E69DF" w:rsidRPr="00603561" w:rsidTr="009B6ABB">
        <w:tc>
          <w:tcPr>
            <w:tcW w:w="14344" w:type="dxa"/>
            <w:gridSpan w:val="16"/>
          </w:tcPr>
          <w:p w:rsidR="006E69DF" w:rsidRPr="00603561" w:rsidRDefault="006E69DF" w:rsidP="009B6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3364" w:rsidRDefault="006E69DF">
      <w:r w:rsidRPr="00AC3101">
        <w:rPr>
          <w:rFonts w:ascii="Arial" w:hAnsi="Arial" w:cs="Arial"/>
          <w:sz w:val="20"/>
          <w:szCs w:val="20"/>
        </w:rPr>
        <w:t>Notes: Please add a footnote to this table summarizing the unit’s policies guiding accounting faculty in the production of intellectual contributions. The data must also be supported by analysis of impact/accomplishments and the depth of participation by faculty across the unit. The data presented in Table A2-1 should be supported by faculty vitae that provide sufficient detail to link individual citations to what is presented here. Interdisciplinary outcomes may be presented in a separate category but the discipline</w:t>
      </w:r>
      <w:r>
        <w:rPr>
          <w:rFonts w:ascii="Arial" w:hAnsi="Arial" w:cs="Arial"/>
          <w:sz w:val="20"/>
          <w:szCs w:val="20"/>
        </w:rPr>
        <w:t>s involved should be identified.</w:t>
      </w:r>
      <w:bookmarkStart w:id="0" w:name="_GoBack"/>
      <w:bookmarkEnd w:id="0"/>
    </w:p>
    <w:sectPr w:rsidR="00133364" w:rsidSect="006E69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DF"/>
    <w:rsid w:val="0051464A"/>
    <w:rsid w:val="006E69DF"/>
    <w:rsid w:val="00927D02"/>
    <w:rsid w:val="009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1EAE0-EB50-4068-85A8-AEE30231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AACSB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Higson</dc:creator>
  <cp:keywords/>
  <dc:description/>
  <cp:lastModifiedBy>Madeline Higson</cp:lastModifiedBy>
  <cp:revision>1</cp:revision>
  <dcterms:created xsi:type="dcterms:W3CDTF">2016-12-14T20:31:00Z</dcterms:created>
  <dcterms:modified xsi:type="dcterms:W3CDTF">2016-12-14T20:33:00Z</dcterms:modified>
</cp:coreProperties>
</file>