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74373" w14:textId="77777777" w:rsidR="00096B24" w:rsidRPr="00A90748" w:rsidRDefault="00096B24" w:rsidP="00096B24">
      <w:pPr>
        <w:pStyle w:val="Table"/>
        <w:rPr>
          <w:sz w:val="24"/>
        </w:rPr>
      </w:pPr>
      <w:r w:rsidRPr="00A90748">
        <w:rPr>
          <w:sz w:val="24"/>
        </w:rPr>
        <w:t>Table 5-1</w:t>
      </w:r>
    </w:p>
    <w:p w14:paraId="1BF378D5" w14:textId="77777777" w:rsidR="00096B24" w:rsidRPr="00E02743" w:rsidRDefault="00096B24" w:rsidP="00096B24">
      <w:pPr>
        <w:pStyle w:val="Tableheader"/>
      </w:pPr>
      <w:r w:rsidRPr="00E02743">
        <w:t>Bachelor of Business Administration (BBA)</w:t>
      </w:r>
    </w:p>
    <w:p w14:paraId="666F4623" w14:textId="77777777" w:rsidR="00096B24" w:rsidRPr="00E02743" w:rsidRDefault="00096B24" w:rsidP="00096B24">
      <w:pPr>
        <w:pStyle w:val="Tableheader"/>
        <w:spacing w:after="120"/>
      </w:pPr>
      <w:r w:rsidRPr="00E02743">
        <w:t xml:space="preserve">          Assessment Plan and Results for </w:t>
      </w:r>
      <w:r>
        <w:t>Most Recently Completed Accreditation Cycle</w:t>
      </w:r>
    </w:p>
    <w:tbl>
      <w:tblPr>
        <w:tblStyle w:val="TableGrid"/>
        <w:tblW w:w="10911" w:type="dxa"/>
        <w:tblInd w:w="-79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1418"/>
        <w:gridCol w:w="1444"/>
        <w:gridCol w:w="1238"/>
        <w:gridCol w:w="1282"/>
        <w:gridCol w:w="2289"/>
      </w:tblGrid>
      <w:tr w:rsidR="00096B24" w:rsidRPr="00F54E80" w14:paraId="0BD50C82" w14:textId="77777777" w:rsidTr="006D673A">
        <w:trPr>
          <w:trHeight w:val="1779"/>
        </w:trPr>
        <w:tc>
          <w:tcPr>
            <w:tcW w:w="1620" w:type="dxa"/>
            <w:shd w:val="clear" w:color="auto" w:fill="006E61"/>
          </w:tcPr>
          <w:p w14:paraId="55E2A6D9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7327AF84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Competency</w:t>
            </w:r>
          </w:p>
        </w:tc>
        <w:tc>
          <w:tcPr>
            <w:tcW w:w="1620" w:type="dxa"/>
            <w:shd w:val="clear" w:color="auto" w:fill="006E61"/>
          </w:tcPr>
          <w:p w14:paraId="54854F3E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193DD3C5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Performance</w:t>
            </w:r>
          </w:p>
          <w:p w14:paraId="73F1E2A9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Target</w:t>
            </w:r>
          </w:p>
        </w:tc>
        <w:tc>
          <w:tcPr>
            <w:tcW w:w="1418" w:type="dxa"/>
            <w:shd w:val="clear" w:color="auto" w:fill="006E61"/>
          </w:tcPr>
          <w:p w14:paraId="21917325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63FB0EC2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How Assessed</w:t>
            </w:r>
          </w:p>
        </w:tc>
        <w:tc>
          <w:tcPr>
            <w:tcW w:w="1444" w:type="dxa"/>
            <w:shd w:val="clear" w:color="auto" w:fill="006E61"/>
          </w:tcPr>
          <w:p w14:paraId="31720AC9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7F14807B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Where Assessed</w:t>
            </w:r>
          </w:p>
        </w:tc>
        <w:tc>
          <w:tcPr>
            <w:tcW w:w="1238" w:type="dxa"/>
            <w:shd w:val="clear" w:color="auto" w:fill="006E61"/>
          </w:tcPr>
          <w:p w14:paraId="5091E91E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08A8F640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When Assessed</w:t>
            </w:r>
          </w:p>
        </w:tc>
        <w:tc>
          <w:tcPr>
            <w:tcW w:w="1282" w:type="dxa"/>
            <w:shd w:val="clear" w:color="auto" w:fill="006E61"/>
          </w:tcPr>
          <w:p w14:paraId="54FB9A43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5359F234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Results</w:t>
            </w:r>
          </w:p>
        </w:tc>
        <w:tc>
          <w:tcPr>
            <w:tcW w:w="2289" w:type="dxa"/>
            <w:shd w:val="clear" w:color="auto" w:fill="006E61"/>
          </w:tcPr>
          <w:p w14:paraId="3CAD8404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67AE6019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Improvements</w:t>
            </w:r>
          </w:p>
          <w:p w14:paraId="27A98656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bCs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bCs/>
                <w:color w:val="FFFFFF" w:themeColor="background1"/>
              </w:rPr>
              <w:t>Identify whether process (P) or curriculum (C)</w:t>
            </w:r>
          </w:p>
          <w:p w14:paraId="2D935042" w14:textId="77777777" w:rsidR="00096B24" w:rsidRPr="00E02743" w:rsidRDefault="00096B24" w:rsidP="006D673A">
            <w:pPr>
              <w:tabs>
                <w:tab w:val="left" w:pos="461"/>
              </w:tabs>
              <w:ind w:right="412"/>
              <w:jc w:val="center"/>
              <w:rPr>
                <w:rFonts w:ascii="Arial" w:eastAsia="Arial" w:hAnsi="Arial"/>
                <w:b/>
                <w:bCs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bCs/>
                <w:color w:val="FFFFFF" w:themeColor="background1"/>
              </w:rPr>
              <w:t>(Date changes were made)</w:t>
            </w:r>
          </w:p>
          <w:p w14:paraId="077AC49A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</w:tc>
      </w:tr>
      <w:tr w:rsidR="00096B24" w:rsidRPr="00F54E80" w14:paraId="45F6FFBE" w14:textId="77777777" w:rsidTr="006D673A">
        <w:trPr>
          <w:trHeight w:val="279"/>
        </w:trPr>
        <w:tc>
          <w:tcPr>
            <w:tcW w:w="10911" w:type="dxa"/>
            <w:gridSpan w:val="7"/>
            <w:shd w:val="clear" w:color="auto" w:fill="D9D9D9" w:themeFill="background1" w:themeFillShade="D9"/>
          </w:tcPr>
          <w:p w14:paraId="074D926C" w14:textId="77777777" w:rsidR="00096B24" w:rsidRPr="00A9164E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sz w:val="16"/>
                <w:szCs w:val="16"/>
              </w:rPr>
            </w:pPr>
            <w:r w:rsidRPr="00A9164E">
              <w:rPr>
                <w:rFonts w:ascii="Arial" w:eastAsia="Arial" w:hAnsi="Arial"/>
                <w:b/>
                <w:sz w:val="20"/>
                <w:szCs w:val="16"/>
              </w:rPr>
              <w:t>Direct Measures</w:t>
            </w:r>
          </w:p>
        </w:tc>
      </w:tr>
      <w:tr w:rsidR="00096B24" w:rsidRPr="00F54E80" w14:paraId="7C9D730B" w14:textId="77777777" w:rsidTr="006D673A">
        <w:trPr>
          <w:trHeight w:val="645"/>
        </w:trPr>
        <w:tc>
          <w:tcPr>
            <w:tcW w:w="1620" w:type="dxa"/>
          </w:tcPr>
          <w:p w14:paraId="2FBDF2F1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Communication Skills—Oral</w:t>
            </w:r>
          </w:p>
        </w:tc>
        <w:tc>
          <w:tcPr>
            <w:tcW w:w="1620" w:type="dxa"/>
          </w:tcPr>
          <w:p w14:paraId="251DD601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75%</w:t>
            </w:r>
          </w:p>
        </w:tc>
        <w:tc>
          <w:tcPr>
            <w:tcW w:w="1418" w:type="dxa"/>
          </w:tcPr>
          <w:p w14:paraId="04A79EA9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Oral presentation</w:t>
            </w:r>
          </w:p>
        </w:tc>
        <w:tc>
          <w:tcPr>
            <w:tcW w:w="1444" w:type="dxa"/>
          </w:tcPr>
          <w:p w14:paraId="2D7E7903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MGT 400</w:t>
            </w:r>
          </w:p>
        </w:tc>
        <w:tc>
          <w:tcPr>
            <w:tcW w:w="1238" w:type="dxa"/>
          </w:tcPr>
          <w:p w14:paraId="67F523BB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Years 1,3</w:t>
            </w:r>
          </w:p>
        </w:tc>
        <w:tc>
          <w:tcPr>
            <w:tcW w:w="1282" w:type="dxa"/>
          </w:tcPr>
          <w:p w14:paraId="4268AD40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Year 1: 68%</w:t>
            </w:r>
          </w:p>
          <w:p w14:paraId="44CB54CE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Year 3: 80%</w:t>
            </w:r>
          </w:p>
        </w:tc>
        <w:tc>
          <w:tcPr>
            <w:tcW w:w="2289" w:type="dxa"/>
          </w:tcPr>
          <w:p w14:paraId="47813389" w14:textId="77777777" w:rsidR="00096B24" w:rsidRPr="00A9164E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Established new mandatory communications class for juniors (C)</w:t>
            </w:r>
          </w:p>
          <w:p w14:paraId="42A2DA4C" w14:textId="77777777" w:rsidR="00096B24" w:rsidRPr="00A9164E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(Year 2)</w:t>
            </w:r>
          </w:p>
        </w:tc>
      </w:tr>
      <w:tr w:rsidR="00096B24" w:rsidRPr="00F54E80" w14:paraId="4BCF0613" w14:textId="77777777" w:rsidTr="006D673A">
        <w:trPr>
          <w:trHeight w:val="473"/>
        </w:trPr>
        <w:tc>
          <w:tcPr>
            <w:tcW w:w="1620" w:type="dxa"/>
          </w:tcPr>
          <w:p w14:paraId="3F535A3E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Communication Skills</w:t>
            </w:r>
            <w:r w:rsidRPr="00F87054">
              <w:rPr>
                <w:rFonts w:ascii="Arial" w:eastAsia="Arial" w:hAnsi="Arial"/>
                <w:sz w:val="16"/>
                <w:szCs w:val="16"/>
              </w:rPr>
              <w:t>—Written</w:t>
            </w:r>
          </w:p>
        </w:tc>
        <w:tc>
          <w:tcPr>
            <w:tcW w:w="1620" w:type="dxa"/>
          </w:tcPr>
          <w:p w14:paraId="7BB9D011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75%</w:t>
            </w:r>
          </w:p>
        </w:tc>
        <w:tc>
          <w:tcPr>
            <w:tcW w:w="1418" w:type="dxa"/>
          </w:tcPr>
          <w:p w14:paraId="22700A53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Research memo</w:t>
            </w:r>
          </w:p>
        </w:tc>
        <w:tc>
          <w:tcPr>
            <w:tcW w:w="1444" w:type="dxa"/>
          </w:tcPr>
          <w:p w14:paraId="3F48C63A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MG 400</w:t>
            </w:r>
          </w:p>
        </w:tc>
        <w:tc>
          <w:tcPr>
            <w:tcW w:w="1238" w:type="dxa"/>
          </w:tcPr>
          <w:p w14:paraId="65E98220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Years 2,4</w:t>
            </w:r>
          </w:p>
        </w:tc>
        <w:tc>
          <w:tcPr>
            <w:tcW w:w="1282" w:type="dxa"/>
          </w:tcPr>
          <w:p w14:paraId="4A31E469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Year 2: 52%</w:t>
            </w:r>
          </w:p>
          <w:p w14:paraId="7714615D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Year 4: 60%</w:t>
            </w:r>
          </w:p>
        </w:tc>
        <w:tc>
          <w:tcPr>
            <w:tcW w:w="2289" w:type="dxa"/>
          </w:tcPr>
          <w:p w14:paraId="63E82917" w14:textId="77777777" w:rsidR="00096B24" w:rsidRPr="00A9164E" w:rsidDel="7A7B27CD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F54E80">
              <w:rPr>
                <w:rFonts w:ascii="Arial" w:eastAsia="Arial" w:hAnsi="Arial"/>
                <w:sz w:val="16"/>
                <w:szCs w:val="16"/>
              </w:rPr>
              <w:t>Established writing lab (</w:t>
            </w:r>
            <w:r>
              <w:rPr>
                <w:rFonts w:ascii="Arial" w:eastAsia="Arial" w:hAnsi="Arial"/>
                <w:sz w:val="16"/>
                <w:szCs w:val="16"/>
              </w:rPr>
              <w:t>P</w:t>
            </w:r>
            <w:r w:rsidRPr="00A9164E">
              <w:rPr>
                <w:rFonts w:ascii="Arial" w:eastAsia="Arial" w:hAnsi="Arial"/>
                <w:sz w:val="16"/>
                <w:szCs w:val="16"/>
              </w:rPr>
              <w:t>)</w:t>
            </w:r>
          </w:p>
          <w:p w14:paraId="5C7D3E61" w14:textId="77777777" w:rsidR="00096B24" w:rsidRPr="00A9164E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A9164E">
              <w:rPr>
                <w:rFonts w:ascii="Arial" w:eastAsia="Arial" w:hAnsi="Arial"/>
                <w:sz w:val="16"/>
                <w:szCs w:val="16"/>
              </w:rPr>
              <w:t>(Year 3)</w:t>
            </w:r>
          </w:p>
        </w:tc>
      </w:tr>
      <w:tr w:rsidR="00096B24" w:rsidRPr="00F54E80" w14:paraId="7ED5FDE8" w14:textId="77777777" w:rsidTr="006D673A">
        <w:trPr>
          <w:trHeight w:val="1549"/>
        </w:trPr>
        <w:tc>
          <w:tcPr>
            <w:tcW w:w="1620" w:type="dxa"/>
          </w:tcPr>
          <w:p w14:paraId="6028E3E3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rPr>
                <w:rFonts w:ascii="Arial" w:eastAsia="Arial" w:hAnsi="Arial"/>
                <w:sz w:val="16"/>
                <w:szCs w:val="16"/>
              </w:rPr>
            </w:pPr>
            <w:bookmarkStart w:id="0" w:name="_Hlk32860242"/>
            <w:r>
              <w:rPr>
                <w:rFonts w:ascii="Arial" w:eastAsia="Arial" w:hAnsi="Arial"/>
                <w:sz w:val="16"/>
                <w:szCs w:val="16"/>
              </w:rPr>
              <w:t>Technical Business Knowledge</w:t>
            </w:r>
          </w:p>
        </w:tc>
        <w:tc>
          <w:tcPr>
            <w:tcW w:w="1620" w:type="dxa"/>
          </w:tcPr>
          <w:p w14:paraId="1BBB6544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Scores at or above the national average in each discipline</w:t>
            </w:r>
          </w:p>
        </w:tc>
        <w:tc>
          <w:tcPr>
            <w:tcW w:w="1418" w:type="dxa"/>
          </w:tcPr>
          <w:p w14:paraId="7F28A775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Standardized test</w:t>
            </w:r>
          </w:p>
        </w:tc>
        <w:tc>
          <w:tcPr>
            <w:tcW w:w="1444" w:type="dxa"/>
          </w:tcPr>
          <w:p w14:paraId="55AD37D4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Online, supervised</w:t>
            </w:r>
          </w:p>
        </w:tc>
        <w:tc>
          <w:tcPr>
            <w:tcW w:w="1238" w:type="dxa"/>
          </w:tcPr>
          <w:p w14:paraId="71439176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Annually in senior year</w:t>
            </w:r>
          </w:p>
        </w:tc>
        <w:tc>
          <w:tcPr>
            <w:tcW w:w="1282" w:type="dxa"/>
          </w:tcPr>
          <w:p w14:paraId="483046B7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Scores above the national average in each discipline except marketing (see separate summary)</w:t>
            </w:r>
          </w:p>
        </w:tc>
        <w:tc>
          <w:tcPr>
            <w:tcW w:w="2289" w:type="dxa"/>
          </w:tcPr>
          <w:p w14:paraId="7F15B537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Added modules in logistics and supply chain in year 2, as that is where the weaknesses were observed in our marketing students. Scores improved in years 3 and 4. We are continuing to monitor (C)</w:t>
            </w:r>
          </w:p>
        </w:tc>
      </w:tr>
      <w:bookmarkEnd w:id="0"/>
      <w:tr w:rsidR="00096B24" w:rsidRPr="00F54E80" w14:paraId="65A95373" w14:textId="77777777" w:rsidTr="006D673A">
        <w:trPr>
          <w:trHeight w:val="279"/>
        </w:trPr>
        <w:tc>
          <w:tcPr>
            <w:tcW w:w="10911" w:type="dxa"/>
            <w:gridSpan w:val="7"/>
            <w:shd w:val="clear" w:color="auto" w:fill="D9D9D9" w:themeFill="background1" w:themeFillShade="D9"/>
          </w:tcPr>
          <w:p w14:paraId="727AA217" w14:textId="77777777" w:rsidR="00096B24" w:rsidRPr="00A9164E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sz w:val="16"/>
                <w:szCs w:val="16"/>
              </w:rPr>
            </w:pPr>
            <w:r w:rsidRPr="00A9164E">
              <w:rPr>
                <w:rFonts w:ascii="Arial" w:eastAsia="Arial" w:hAnsi="Arial"/>
                <w:b/>
                <w:sz w:val="20"/>
                <w:szCs w:val="16"/>
              </w:rPr>
              <w:t>Indirect Measures</w:t>
            </w:r>
            <w:r>
              <w:rPr>
                <w:rFonts w:ascii="Arial" w:eastAsia="Arial" w:hAnsi="Arial"/>
                <w:b/>
                <w:sz w:val="20"/>
                <w:szCs w:val="16"/>
              </w:rPr>
              <w:t xml:space="preserve"> - none</w:t>
            </w:r>
          </w:p>
        </w:tc>
      </w:tr>
    </w:tbl>
    <w:p w14:paraId="2BF34FCD" w14:textId="77777777" w:rsidR="00096B24" w:rsidRDefault="00096B24" w:rsidP="00096B24"/>
    <w:p w14:paraId="304929F7" w14:textId="77777777" w:rsidR="00096B24" w:rsidRDefault="00096B24" w:rsidP="00096B24">
      <w:pPr>
        <w:widowControl/>
        <w:spacing w:after="160" w:line="259" w:lineRule="auto"/>
      </w:pPr>
      <w:r>
        <w:br w:type="page"/>
      </w:r>
    </w:p>
    <w:p w14:paraId="01DBAEF1" w14:textId="77777777" w:rsidR="00096B24" w:rsidRPr="00121467" w:rsidRDefault="00096B24" w:rsidP="00096B24">
      <w:pPr>
        <w:pStyle w:val="Table"/>
        <w:rPr>
          <w:sz w:val="24"/>
        </w:rPr>
      </w:pPr>
      <w:r w:rsidRPr="00121467">
        <w:rPr>
          <w:sz w:val="24"/>
        </w:rPr>
        <w:lastRenderedPageBreak/>
        <w:t>Table 5-1</w:t>
      </w:r>
    </w:p>
    <w:p w14:paraId="63D30E98" w14:textId="77777777" w:rsidR="00096B24" w:rsidRPr="00E02743" w:rsidRDefault="00096B24" w:rsidP="00096B24">
      <w:pPr>
        <w:pStyle w:val="Tableheader"/>
      </w:pPr>
      <w:r>
        <w:t>Master of Cybersecurity</w:t>
      </w:r>
    </w:p>
    <w:p w14:paraId="32E3BC28" w14:textId="77777777" w:rsidR="00096B24" w:rsidRPr="00E02743" w:rsidRDefault="00096B24" w:rsidP="00096B24">
      <w:pPr>
        <w:pStyle w:val="Tableheader"/>
        <w:spacing w:after="120"/>
      </w:pPr>
      <w:r w:rsidRPr="00E02743">
        <w:t xml:space="preserve">          Assessment Plan and Results for </w:t>
      </w:r>
      <w:r>
        <w:t>Most Recently Completed Accreditation Cycle</w:t>
      </w:r>
    </w:p>
    <w:tbl>
      <w:tblPr>
        <w:tblStyle w:val="TableGrid"/>
        <w:tblW w:w="10911" w:type="dxa"/>
        <w:tblInd w:w="-79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1418"/>
        <w:gridCol w:w="1444"/>
        <w:gridCol w:w="1238"/>
        <w:gridCol w:w="1282"/>
        <w:gridCol w:w="2289"/>
      </w:tblGrid>
      <w:tr w:rsidR="00096B24" w:rsidRPr="00F54E80" w14:paraId="00D0E0A0" w14:textId="77777777" w:rsidTr="006D673A">
        <w:trPr>
          <w:trHeight w:val="1779"/>
        </w:trPr>
        <w:tc>
          <w:tcPr>
            <w:tcW w:w="1620" w:type="dxa"/>
            <w:shd w:val="clear" w:color="auto" w:fill="006E61"/>
          </w:tcPr>
          <w:p w14:paraId="65B61A54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161CF384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Competency</w:t>
            </w:r>
          </w:p>
        </w:tc>
        <w:tc>
          <w:tcPr>
            <w:tcW w:w="1620" w:type="dxa"/>
            <w:shd w:val="clear" w:color="auto" w:fill="006E61"/>
          </w:tcPr>
          <w:p w14:paraId="6FB6D11D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53812E49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Performance</w:t>
            </w:r>
          </w:p>
          <w:p w14:paraId="1DD97DF7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Target</w:t>
            </w:r>
          </w:p>
        </w:tc>
        <w:tc>
          <w:tcPr>
            <w:tcW w:w="1418" w:type="dxa"/>
            <w:shd w:val="clear" w:color="auto" w:fill="006E61"/>
          </w:tcPr>
          <w:p w14:paraId="3BC21F3C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2135049C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How Assessed</w:t>
            </w:r>
          </w:p>
        </w:tc>
        <w:tc>
          <w:tcPr>
            <w:tcW w:w="1444" w:type="dxa"/>
            <w:shd w:val="clear" w:color="auto" w:fill="006E61"/>
          </w:tcPr>
          <w:p w14:paraId="09FE96EA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06F03201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Where Assessed</w:t>
            </w:r>
          </w:p>
        </w:tc>
        <w:tc>
          <w:tcPr>
            <w:tcW w:w="1238" w:type="dxa"/>
            <w:shd w:val="clear" w:color="auto" w:fill="006E61"/>
          </w:tcPr>
          <w:p w14:paraId="47BAFD2C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6B8F4C49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When Assessed</w:t>
            </w:r>
          </w:p>
        </w:tc>
        <w:tc>
          <w:tcPr>
            <w:tcW w:w="1282" w:type="dxa"/>
            <w:shd w:val="clear" w:color="auto" w:fill="006E61"/>
          </w:tcPr>
          <w:p w14:paraId="736E7B69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708164C0" w14:textId="77777777" w:rsidR="00096B24" w:rsidRPr="00E02743" w:rsidRDefault="00096B24" w:rsidP="006D673A">
            <w:pPr>
              <w:tabs>
                <w:tab w:val="left" w:pos="461"/>
              </w:tabs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Results</w:t>
            </w:r>
          </w:p>
        </w:tc>
        <w:tc>
          <w:tcPr>
            <w:tcW w:w="2289" w:type="dxa"/>
            <w:shd w:val="clear" w:color="auto" w:fill="006E61"/>
          </w:tcPr>
          <w:p w14:paraId="2F031276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  <w:p w14:paraId="23E80452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color w:val="FFFFFF" w:themeColor="background1"/>
              </w:rPr>
              <w:t>Improvements</w:t>
            </w:r>
          </w:p>
          <w:p w14:paraId="16FA9442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bCs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bCs/>
                <w:color w:val="FFFFFF" w:themeColor="background1"/>
              </w:rPr>
              <w:t>Identify whether process (P) or curriculum (C)</w:t>
            </w:r>
          </w:p>
          <w:p w14:paraId="261672FB" w14:textId="77777777" w:rsidR="00096B24" w:rsidRPr="00E02743" w:rsidRDefault="00096B24" w:rsidP="006D673A">
            <w:pPr>
              <w:tabs>
                <w:tab w:val="left" w:pos="461"/>
              </w:tabs>
              <w:ind w:right="412"/>
              <w:jc w:val="center"/>
              <w:rPr>
                <w:rFonts w:ascii="Arial" w:eastAsia="Arial" w:hAnsi="Arial"/>
                <w:b/>
                <w:bCs/>
                <w:color w:val="FFFFFF" w:themeColor="background1"/>
              </w:rPr>
            </w:pPr>
            <w:r w:rsidRPr="00E02743">
              <w:rPr>
                <w:rFonts w:ascii="Arial" w:eastAsia="Arial" w:hAnsi="Arial"/>
                <w:b/>
                <w:bCs/>
                <w:color w:val="FFFFFF" w:themeColor="background1"/>
              </w:rPr>
              <w:t>(Date changes were made)</w:t>
            </w:r>
          </w:p>
          <w:p w14:paraId="4645DA34" w14:textId="77777777" w:rsidR="00096B24" w:rsidRPr="00E02743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color w:val="FFFFFF" w:themeColor="background1"/>
              </w:rPr>
            </w:pPr>
          </w:p>
        </w:tc>
      </w:tr>
      <w:tr w:rsidR="00096B24" w:rsidRPr="00F54E80" w14:paraId="6128CE44" w14:textId="77777777" w:rsidTr="006D673A">
        <w:trPr>
          <w:trHeight w:val="279"/>
        </w:trPr>
        <w:tc>
          <w:tcPr>
            <w:tcW w:w="10911" w:type="dxa"/>
            <w:gridSpan w:val="7"/>
            <w:shd w:val="clear" w:color="auto" w:fill="D9D9D9" w:themeFill="background1" w:themeFillShade="D9"/>
          </w:tcPr>
          <w:p w14:paraId="68460488" w14:textId="77777777" w:rsidR="00096B24" w:rsidRPr="00A9164E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sz w:val="16"/>
                <w:szCs w:val="16"/>
              </w:rPr>
            </w:pPr>
            <w:r w:rsidRPr="00A9164E">
              <w:rPr>
                <w:rFonts w:ascii="Arial" w:eastAsia="Arial" w:hAnsi="Arial"/>
                <w:b/>
                <w:sz w:val="20"/>
                <w:szCs w:val="16"/>
              </w:rPr>
              <w:t>Direct Measures</w:t>
            </w:r>
            <w:r>
              <w:rPr>
                <w:rFonts w:ascii="Arial" w:eastAsia="Arial" w:hAnsi="Arial"/>
                <w:b/>
                <w:sz w:val="20"/>
                <w:szCs w:val="16"/>
              </w:rPr>
              <w:t xml:space="preserve"> - none</w:t>
            </w:r>
          </w:p>
        </w:tc>
      </w:tr>
      <w:tr w:rsidR="00096B24" w:rsidRPr="00F54E80" w14:paraId="7ABFB348" w14:textId="77777777" w:rsidTr="006D673A">
        <w:trPr>
          <w:trHeight w:val="279"/>
        </w:trPr>
        <w:tc>
          <w:tcPr>
            <w:tcW w:w="10911" w:type="dxa"/>
            <w:gridSpan w:val="7"/>
            <w:shd w:val="clear" w:color="auto" w:fill="D9D9D9" w:themeFill="background1" w:themeFillShade="D9"/>
          </w:tcPr>
          <w:p w14:paraId="757DEB7B" w14:textId="77777777" w:rsidR="00096B24" w:rsidRPr="00A9164E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b/>
                <w:sz w:val="16"/>
                <w:szCs w:val="16"/>
              </w:rPr>
            </w:pPr>
            <w:r w:rsidRPr="00A9164E">
              <w:rPr>
                <w:rFonts w:ascii="Arial" w:eastAsia="Arial" w:hAnsi="Arial"/>
                <w:b/>
                <w:sz w:val="20"/>
                <w:szCs w:val="16"/>
              </w:rPr>
              <w:t>Indirect Measures</w:t>
            </w:r>
          </w:p>
        </w:tc>
      </w:tr>
      <w:tr w:rsidR="00096B24" w:rsidRPr="00F54E80" w14:paraId="46D18CD9" w14:textId="77777777" w:rsidTr="006D673A">
        <w:trPr>
          <w:trHeight w:val="1549"/>
        </w:trPr>
        <w:tc>
          <w:tcPr>
            <w:tcW w:w="1620" w:type="dxa"/>
          </w:tcPr>
          <w:p w14:paraId="274DDD0D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 xml:space="preserve">Technical knowledge in cybersecurity, including demonstrated success in post-graduate employment </w:t>
            </w:r>
          </w:p>
        </w:tc>
        <w:tc>
          <w:tcPr>
            <w:tcW w:w="1620" w:type="dxa"/>
          </w:tcPr>
          <w:p w14:paraId="7125F3FE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An average of 6 on a 7-point Likert scale on employer satisfaction survey</w:t>
            </w:r>
          </w:p>
        </w:tc>
        <w:tc>
          <w:tcPr>
            <w:tcW w:w="1418" w:type="dxa"/>
          </w:tcPr>
          <w:p w14:paraId="580E40EC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 xml:space="preserve">Employer satisfaction survey </w:t>
            </w:r>
          </w:p>
        </w:tc>
        <w:tc>
          <w:tcPr>
            <w:tcW w:w="1444" w:type="dxa"/>
          </w:tcPr>
          <w:p w14:paraId="35DD7C12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With all employers who have hired our cybersecurity graduates in the past five years</w:t>
            </w:r>
          </w:p>
        </w:tc>
        <w:tc>
          <w:tcPr>
            <w:tcW w:w="1238" w:type="dxa"/>
          </w:tcPr>
          <w:p w14:paraId="0CED8C51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Survey is conducted every other year; Last measured in year 3 of our accreditation cycle</w:t>
            </w:r>
          </w:p>
        </w:tc>
        <w:tc>
          <w:tcPr>
            <w:tcW w:w="1282" w:type="dxa"/>
          </w:tcPr>
          <w:p w14:paraId="102CC7BC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6.6/7.0</w:t>
            </w:r>
          </w:p>
        </w:tc>
        <w:tc>
          <w:tcPr>
            <w:tcW w:w="2289" w:type="dxa"/>
          </w:tcPr>
          <w:p w14:paraId="20F735A4" w14:textId="77777777" w:rsidR="00096B24" w:rsidRPr="00F54E80" w:rsidRDefault="00096B24" w:rsidP="006D673A">
            <w:pPr>
              <w:tabs>
                <w:tab w:val="left" w:pos="461"/>
              </w:tabs>
              <w:spacing w:before="37"/>
              <w:ind w:right="412"/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3F5768">
              <w:rPr>
                <w:rFonts w:ascii="Arial" w:eastAsia="Arial" w:hAnsi="Arial"/>
                <w:sz w:val="16"/>
                <w:szCs w:val="16"/>
              </w:rPr>
              <w:t>Two areas of deficiency were noted in our survey:  the area of digital forensics was noted as a weakness, as well as issues regarding cloud computing security. As a result of this feedback, we added these topics into the curriculum and are currently focusing on this area more heavily. (P)</w:t>
            </w:r>
          </w:p>
        </w:tc>
      </w:tr>
      <w:tr w:rsidR="00096B24" w:rsidRPr="00F54E80" w14:paraId="7BD72EDD" w14:textId="77777777" w:rsidTr="006D673A">
        <w:trPr>
          <w:trHeight w:val="1226"/>
        </w:trPr>
        <w:tc>
          <w:tcPr>
            <w:tcW w:w="10911" w:type="dxa"/>
            <w:gridSpan w:val="7"/>
          </w:tcPr>
          <w:p w14:paraId="70154A7A" w14:textId="77777777" w:rsidR="00096B24" w:rsidRPr="00F87054" w:rsidRDefault="00096B24" w:rsidP="006D673A">
            <w:pPr>
              <w:tabs>
                <w:tab w:val="left" w:pos="461"/>
              </w:tabs>
              <w:spacing w:before="37"/>
              <w:ind w:right="412"/>
              <w:rPr>
                <w:rFonts w:ascii="Arial" w:eastAsia="Arial" w:hAnsi="Arial"/>
                <w:sz w:val="20"/>
                <w:szCs w:val="20"/>
              </w:rPr>
            </w:pPr>
            <w:r w:rsidRPr="003F5768">
              <w:rPr>
                <w:rFonts w:ascii="Arial" w:eastAsia="Arial" w:hAnsi="Arial"/>
                <w:sz w:val="16"/>
                <w:szCs w:val="16"/>
              </w:rPr>
              <w:t>The primary competency goal is the technical proficiency of our students who graduate with this degree. To measure the technical proficiency of our students, we conduct a survey of our Master of Cybersecurity employers every three years to determine satisfaction measures with those who hire our students. We last conducted this survey in year 3 of this accreditation cycle. Satisfaction was measured at a 6.6 on a 7-point Likert scale. Of the 30 people who have graduated with this degree, 90% are employed in the field of cybersecurity. Complete survey results are available upon request.</w:t>
            </w:r>
          </w:p>
        </w:tc>
      </w:tr>
    </w:tbl>
    <w:p w14:paraId="0D090DE6" w14:textId="77777777" w:rsidR="006C709F" w:rsidRDefault="006C709F">
      <w:bookmarkStart w:id="1" w:name="_GoBack"/>
      <w:bookmarkEnd w:id="1"/>
    </w:p>
    <w:sectPr w:rsidR="006C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24"/>
    <w:rsid w:val="00096B24"/>
    <w:rsid w:val="006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A099"/>
  <w15:chartTrackingRefBased/>
  <w15:docId w15:val="{6C3BEAA1-609A-4680-AE1B-E9B71819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6B2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 #"/>
    <w:basedOn w:val="Normal"/>
    <w:qFormat/>
    <w:rsid w:val="00096B24"/>
    <w:pPr>
      <w:widowControl/>
      <w:spacing w:before="200" w:line="276" w:lineRule="auto"/>
      <w:jc w:val="center"/>
    </w:pPr>
    <w:rPr>
      <w:rFonts w:eastAsiaTheme="minorEastAsia"/>
      <w:b/>
      <w:bCs/>
      <w:color w:val="000000" w:themeColor="text1"/>
      <w:spacing w:val="-1"/>
      <w:szCs w:val="20"/>
    </w:rPr>
  </w:style>
  <w:style w:type="paragraph" w:customStyle="1" w:styleId="Tableheader">
    <w:name w:val="Table header"/>
    <w:basedOn w:val="Normal"/>
    <w:qFormat/>
    <w:rsid w:val="00096B24"/>
    <w:pPr>
      <w:widowControl/>
      <w:spacing w:before="120" w:after="360" w:line="276" w:lineRule="auto"/>
      <w:contextualSpacing/>
      <w:jc w:val="center"/>
    </w:pPr>
    <w:rPr>
      <w:rFonts w:eastAsiaTheme="minorEastAsia"/>
      <w:b/>
      <w:bCs/>
      <w:color w:val="000000" w:themeColor="text1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Mintz</dc:creator>
  <cp:keywords/>
  <dc:description/>
  <cp:lastModifiedBy>Suzanne Mintz</cp:lastModifiedBy>
  <cp:revision>1</cp:revision>
  <dcterms:created xsi:type="dcterms:W3CDTF">2020-07-26T23:36:00Z</dcterms:created>
  <dcterms:modified xsi:type="dcterms:W3CDTF">2020-07-26T23:37:00Z</dcterms:modified>
</cp:coreProperties>
</file>